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5" w:rsidRPr="00141009" w:rsidRDefault="008E1BB5" w:rsidP="00F65D78">
      <w:pPr>
        <w:jc w:val="both"/>
        <w:rPr>
          <w:rFonts w:ascii="Arial" w:hAnsi="Arial" w:cs="Arial"/>
          <w:color w:val="808080"/>
        </w:rPr>
      </w:pPr>
      <w:r w:rsidRPr="00584E0C">
        <w:rPr>
          <w:rFonts w:ascii="Arial" w:hAnsi="Arial" w:cs="Arial"/>
          <w:color w:val="808080"/>
        </w:rPr>
        <w:t>Справка об ОАО «АИЖК»</w:t>
      </w:r>
    </w:p>
    <w:p w:rsidR="008E1BB5" w:rsidRPr="00141009" w:rsidRDefault="008E1BB5" w:rsidP="00F65D78">
      <w:pPr>
        <w:jc w:val="both"/>
        <w:rPr>
          <w:rFonts w:ascii="Arial" w:hAnsi="Arial" w:cs="Arial"/>
          <w:i/>
          <w:iCs/>
          <w:color w:val="808080"/>
        </w:rPr>
      </w:pPr>
    </w:p>
    <w:p w:rsidR="008E1BB5" w:rsidRPr="00141009" w:rsidRDefault="008E1BB5" w:rsidP="00F65D78">
      <w:pPr>
        <w:jc w:val="both"/>
        <w:rPr>
          <w:rFonts w:ascii="Arial" w:hAnsi="Arial" w:cs="Arial"/>
          <w:b/>
          <w:bCs/>
          <w:i/>
          <w:iCs/>
          <w:color w:val="808080"/>
        </w:rPr>
      </w:pPr>
      <w:r w:rsidRPr="00584E0C">
        <w:rPr>
          <w:rFonts w:ascii="Arial" w:hAnsi="Arial" w:cs="Arial"/>
          <w:i/>
          <w:iCs/>
          <w:color w:val="808080"/>
        </w:rPr>
        <w:t>ОАО «Агентство по ипо</w:t>
      </w:r>
      <w:r w:rsidRPr="00584E0C">
        <w:rPr>
          <w:rFonts w:ascii="Arial" w:hAnsi="Arial" w:cs="Arial"/>
          <w:i/>
          <w:iCs/>
          <w:color w:val="808080"/>
        </w:rPr>
        <w:softHyphen/>
        <w:t>течному жилищному кредитованию» (Агентство, АИЖК) создано в 1997 году по решению Правитель</w:t>
      </w:r>
      <w:r w:rsidRPr="00584E0C">
        <w:rPr>
          <w:rFonts w:ascii="Arial" w:hAnsi="Arial" w:cs="Arial"/>
          <w:i/>
          <w:iCs/>
          <w:color w:val="808080"/>
        </w:rPr>
        <w:softHyphen/>
        <w:t xml:space="preserve">ства РФ. Целью деятельности Агентства является реализация государственной политики по обеспечению доступности жилья, развитие федеральной системы ипотечного жилищного кредитования в России и обеспечение притока инвестиционных ресурсов в сферу ипотечного жилищного кредитования. Подробная информация на сайте  </w:t>
      </w:r>
      <w:hyperlink r:id="rId7" w:history="1">
        <w:r w:rsidRPr="00584E0C">
          <w:rPr>
            <w:rFonts w:ascii="Arial" w:hAnsi="Arial" w:cs="Arial"/>
            <w:b/>
            <w:bCs/>
            <w:i/>
            <w:iCs/>
            <w:color w:val="808080"/>
          </w:rPr>
          <w:t>www.ahml.ru</w:t>
        </w:r>
      </w:hyperlink>
      <w:r w:rsidRPr="00584E0C">
        <w:rPr>
          <w:color w:val="808080"/>
        </w:rPr>
        <w:t>.</w:t>
      </w:r>
    </w:p>
    <w:p w:rsidR="008E1BB5" w:rsidRDefault="008E1BB5" w:rsidP="00F65D78">
      <w:pPr>
        <w:spacing w:after="245"/>
        <w:jc w:val="both"/>
      </w:pPr>
    </w:p>
    <w:p w:rsidR="008E1BB5" w:rsidRDefault="008E1BB5" w:rsidP="00F65D78">
      <w:pPr>
        <w:spacing w:after="245"/>
        <w:jc w:val="both"/>
      </w:pPr>
      <w:r w:rsidRPr="00D0071D">
        <w:t xml:space="preserve">В рамках исполнения Поручения Председателя Правительства Российской Федерации В.В. Путина от 04 августа 2011 года «О создании специального ипотечного продукта  для   кредитования молодых  ученых»  Агентством </w:t>
      </w:r>
      <w:r>
        <w:t xml:space="preserve"> был разработан </w:t>
      </w:r>
      <w:r>
        <w:rPr>
          <w:b/>
          <w:bCs/>
        </w:rPr>
        <w:t xml:space="preserve">новый </w:t>
      </w:r>
      <w:r w:rsidRPr="00D0071D">
        <w:rPr>
          <w:b/>
          <w:bCs/>
        </w:rPr>
        <w:t>ипотечн</w:t>
      </w:r>
      <w:r>
        <w:rPr>
          <w:b/>
          <w:bCs/>
        </w:rPr>
        <w:t>ый</w:t>
      </w:r>
      <w:r w:rsidRPr="00D0071D">
        <w:rPr>
          <w:b/>
          <w:bCs/>
        </w:rPr>
        <w:t xml:space="preserve"> продукт «Молодые ученые</w:t>
      </w:r>
      <w:r w:rsidRPr="00D0071D">
        <w:t xml:space="preserve">». </w:t>
      </w:r>
    </w:p>
    <w:p w:rsidR="008E1BB5" w:rsidRDefault="008E1BB5" w:rsidP="00F65D78">
      <w:pPr>
        <w:spacing w:after="245"/>
        <w:jc w:val="both"/>
      </w:pPr>
      <w:r w:rsidRPr="00D0071D">
        <w:t>Внедрение ипотечного продукта «Молодые ученые» проход</w:t>
      </w:r>
      <w:r>
        <w:t xml:space="preserve">ило в конце 2011 года – начале 2012 года </w:t>
      </w:r>
      <w:r w:rsidRPr="00D0071D">
        <w:t>в режиме пилотного проекта. В его рамках</w:t>
      </w:r>
      <w:r>
        <w:t>, были</w:t>
      </w:r>
      <w:r w:rsidRPr="00D0071D">
        <w:t xml:space="preserve"> отработа</w:t>
      </w:r>
      <w:r>
        <w:t>ны</w:t>
      </w:r>
      <w:r w:rsidRPr="00D0071D">
        <w:t xml:space="preserve"> механизмы выдачи, выкупа и сопровождения ипотечных кредитов (займов) на ограниченном количестве кредитов. По результатам реализации пилотного проекта принято решение о </w:t>
      </w:r>
      <w:r>
        <w:t>расширении целевой аудитории до научных работников академий наук (РАН, РАМН и РАСХН), научных работников федеральных университетов и университетов, имеющих категорию национальный исследовательский институт.</w:t>
      </w:r>
      <w:r w:rsidRPr="00D0071D">
        <w:t xml:space="preserve"> </w:t>
      </w:r>
    </w:p>
    <w:p w:rsidR="008E1BB5" w:rsidRPr="00F65D78" w:rsidRDefault="008E1BB5" w:rsidP="00F65D78">
      <w:pPr>
        <w:spacing w:after="245"/>
        <w:jc w:val="both"/>
      </w:pPr>
      <w:r w:rsidRPr="00F65D78">
        <w:t xml:space="preserve">Программа, предложенная АИЖК, открывает для молодых специалистов не только возможность оперативно решить жилищную проблему, но и сделать это в наиболее комфортных условиях. Государственные субсидии, невысокая ставка, разумные требования к платежеспособности и уровню доходов потенциальных заемщиков, уровень первоначального взноса – все это было учтено Агентством в специальном ипотечном продукте. </w:t>
      </w:r>
    </w:p>
    <w:p w:rsidR="008E1BB5" w:rsidRPr="00F65D78" w:rsidRDefault="008E1BB5" w:rsidP="00F65D78">
      <w:pPr>
        <w:spacing w:after="245"/>
        <w:jc w:val="both"/>
      </w:pPr>
      <w:r w:rsidRPr="00F65D78">
        <w:t>В счет части первоначального взноса принимаются жилищные сертификаты, выданные по федеральной целевой программе «Жилище», средства материнского (семейного) капитала.</w:t>
      </w:r>
    </w:p>
    <w:p w:rsidR="008E1BB5" w:rsidRPr="00F65D78" w:rsidRDefault="008E1BB5" w:rsidP="00F65D78">
      <w:pPr>
        <w:spacing w:after="245"/>
        <w:jc w:val="both"/>
      </w:pPr>
    </w:p>
    <w:p w:rsidR="008E1BB5" w:rsidRPr="00F65D78" w:rsidRDefault="008E1BB5" w:rsidP="00F65D78">
      <w:pPr>
        <w:spacing w:after="245"/>
        <w:jc w:val="both"/>
      </w:pPr>
      <w:r w:rsidRPr="00F65D78">
        <w:t xml:space="preserve">Схема ипотечного кредитования молодых ученых принимает во внимание скромные финансовые возможности в начале карьеры. В начале срока кредитования сумма ежемесячных выплат по кредиту рассчитывается, исходя из текущих доходов заемщика - это небольшой комфортный платеж. </w:t>
      </w:r>
    </w:p>
    <w:p w:rsidR="008E1BB5" w:rsidRPr="00F65D78" w:rsidRDefault="008E1BB5" w:rsidP="00F65D78">
      <w:pPr>
        <w:spacing w:after="245"/>
        <w:jc w:val="both"/>
      </w:pPr>
      <w:r w:rsidRPr="00F65D78">
        <w:t xml:space="preserve">При оформлении кредита заемщик выбирает период, в течение которого раз в год платеж будет индексироваться: </w:t>
      </w:r>
      <w:r>
        <w:t>(</w:t>
      </w:r>
      <w:r w:rsidRPr="00F65D78">
        <w:t>5, 10 или 15 лет</w:t>
      </w:r>
      <w:r>
        <w:t>)</w:t>
      </w:r>
      <w:r w:rsidRPr="00F65D78">
        <w:t xml:space="preserve">, затем платеж фиксируется. До срока фиксации ежегодно происходит плавный рост суммы платежа, что обеспечивает оптимальное распределение кредитной нагрузки. Индекс роста небольшой, ориентировочно совпадает с уровнем инфляции и обычно не вызывает проблем у заемщика. </w:t>
      </w:r>
    </w:p>
    <w:p w:rsidR="008E1BB5" w:rsidRPr="00F65D78" w:rsidRDefault="008E1BB5" w:rsidP="00F65D78">
      <w:pPr>
        <w:spacing w:after="245"/>
        <w:jc w:val="both"/>
      </w:pPr>
      <w:r w:rsidRPr="00F65D78">
        <w:t>Процентная ставка от 10 до 10,5%.</w:t>
      </w:r>
    </w:p>
    <w:p w:rsidR="008E1BB5" w:rsidRPr="00F65D78" w:rsidRDefault="008E1BB5" w:rsidP="00F65D78">
      <w:pPr>
        <w:spacing w:after="245"/>
        <w:jc w:val="both"/>
      </w:pPr>
      <w:r w:rsidRPr="00F65D78">
        <w:t xml:space="preserve">Льготные условия рассчитаны на всех молодых ученых, вне зависимости от их права на социальные выплаты. </w:t>
      </w:r>
    </w:p>
    <w:p w:rsidR="008E1BB5" w:rsidRPr="00F65D78" w:rsidRDefault="008E1BB5" w:rsidP="00F65D78">
      <w:pPr>
        <w:spacing w:after="245"/>
        <w:jc w:val="both"/>
      </w:pP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lastRenderedPageBreak/>
        <w:t>Кто может получить кредит?</w:t>
      </w: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 xml:space="preserve">Молодые ученые не старше 35 лет (доктора наук - не старше 40 лет), работающие на научных должностях в РАН, РАМН, РАСХН, федеральных университетах и университетах, которым установлена категория "национальный исследовательский университет». Подробнее о требованиях к заемщикам и о продукте на сайте АИЖК </w:t>
      </w:r>
      <w:hyperlink r:id="rId8" w:history="1">
        <w:r w:rsidRPr="00A704F3">
          <w:rPr>
            <w:b/>
            <w:bCs/>
          </w:rPr>
          <w:t>www.ahml.ru</w:t>
        </w:r>
      </w:hyperlink>
      <w:r w:rsidRPr="00A704F3">
        <w:rPr>
          <w:b/>
          <w:bCs/>
        </w:rPr>
        <w:t xml:space="preserve"> Раздел Заемщикам/Ипотечный продукт «Молодые ученые».</w:t>
      </w: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 xml:space="preserve">Продукт предусматривает индивидуальный подход и целевое кредитование, поэтому включение в состав участников программы происходит по предварительной заявке. </w:t>
      </w: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>Молодой ученый может направить Анкету</w:t>
      </w:r>
      <w:r w:rsidRPr="00A704F3">
        <w:rPr>
          <w:b/>
          <w:bCs/>
          <w:vertAlign w:val="superscript"/>
        </w:rPr>
        <w:footnoteReference w:id="1"/>
      </w:r>
      <w:r w:rsidRPr="00A704F3">
        <w:rPr>
          <w:b/>
          <w:bCs/>
          <w:vertAlign w:val="superscript"/>
        </w:rPr>
        <w:t xml:space="preserve"> </w:t>
      </w:r>
      <w:r w:rsidRPr="00A704F3">
        <w:rPr>
          <w:b/>
          <w:bCs/>
        </w:rPr>
        <w:t xml:space="preserve"> на участие в программе с 1 августа 2012 года по 1 октября 2012 года одним из следующих способов:</w:t>
      </w:r>
    </w:p>
    <w:p w:rsidR="008E1BB5" w:rsidRPr="00064647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 xml:space="preserve">заполнить анкету на сайте АИЖК </w:t>
      </w:r>
      <w:hyperlink r:id="rId9" w:history="1"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ahml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A704F3">
        <w:rPr>
          <w:b/>
          <w:bCs/>
        </w:rPr>
        <w:t xml:space="preserve"> (Раздел </w:t>
      </w:r>
      <w:r w:rsidR="00064647" w:rsidRPr="00064647">
        <w:rPr>
          <w:b/>
          <w:bCs/>
        </w:rPr>
        <w:t>Заемщикам/Ипотечные продукты/Продукт «Молодые ученые»/Подать заявку)</w:t>
      </w:r>
      <w:r w:rsidR="00064647">
        <w:rPr>
          <w:b/>
          <w:bCs/>
        </w:rPr>
        <w:t>;</w:t>
      </w: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 xml:space="preserve">распечатать анкету  с  сайта  и отправить скан-копию заполненной анкеты на адрес </w:t>
      </w:r>
      <w:hyperlink r:id="rId10" w:history="1">
        <w:r w:rsidRPr="00A704F3">
          <w:rPr>
            <w:b/>
            <w:bCs/>
          </w:rPr>
          <w:t>ys@ahml.ru</w:t>
        </w:r>
      </w:hyperlink>
      <w:r w:rsidR="00064647">
        <w:rPr>
          <w:b/>
          <w:bCs/>
        </w:rPr>
        <w:t>;</w:t>
      </w:r>
    </w:p>
    <w:p w:rsidR="008E1BB5" w:rsidRPr="00A704F3" w:rsidRDefault="00064647" w:rsidP="00F65D78">
      <w:pPr>
        <w:spacing w:after="245"/>
        <w:jc w:val="both"/>
        <w:rPr>
          <w:b/>
          <w:bCs/>
        </w:rPr>
      </w:pPr>
      <w:r>
        <w:rPr>
          <w:b/>
          <w:bCs/>
        </w:rPr>
        <w:t>з</w:t>
      </w:r>
      <w:r w:rsidR="008E1BB5" w:rsidRPr="00A704F3">
        <w:rPr>
          <w:b/>
          <w:bCs/>
        </w:rPr>
        <w:t xml:space="preserve">аполнить анкету и отправить ее скан-копию на адрес </w:t>
      </w:r>
      <w:hyperlink r:id="rId11" w:history="1">
        <w:r w:rsidR="008E1BB5" w:rsidRPr="00A704F3">
          <w:rPr>
            <w:b/>
            <w:bCs/>
          </w:rPr>
          <w:t>ys@ahml.ru</w:t>
        </w:r>
      </w:hyperlink>
      <w:r w:rsidR="008E1BB5" w:rsidRPr="00A704F3">
        <w:rPr>
          <w:b/>
          <w:bCs/>
        </w:rPr>
        <w:t>.</w:t>
      </w: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 xml:space="preserve">Также все вопросы, связанные с продуктом «Молодые ученые», вы можете направлять на адрес </w:t>
      </w:r>
      <w:hyperlink r:id="rId12" w:history="1">
        <w:r w:rsidRPr="00A704F3">
          <w:rPr>
            <w:b/>
            <w:bCs/>
          </w:rPr>
          <w:t>ys@ahml.ru</w:t>
        </w:r>
      </w:hyperlink>
      <w:r w:rsidRPr="00A704F3">
        <w:rPr>
          <w:b/>
          <w:bCs/>
        </w:rPr>
        <w:t xml:space="preserve">, </w:t>
      </w:r>
    </w:p>
    <w:p w:rsidR="008E1BB5" w:rsidRPr="00A704F3" w:rsidRDefault="008E1BB5" w:rsidP="00F65D78">
      <w:pPr>
        <w:spacing w:after="245"/>
        <w:jc w:val="both"/>
        <w:rPr>
          <w:b/>
          <w:bCs/>
        </w:rPr>
      </w:pPr>
      <w:r w:rsidRPr="00A704F3">
        <w:rPr>
          <w:b/>
          <w:bCs/>
        </w:rPr>
        <w:t xml:space="preserve">Координатор реализации программы Татьяна Файнблит (84957754740 – доб 8277) адрес электронной почты </w:t>
      </w:r>
      <w:hyperlink r:id="rId13" w:history="1"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TMFainblit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ahml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A704F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8E1BB5" w:rsidRPr="00F65D78" w:rsidRDefault="008E1BB5" w:rsidP="00F65D78">
      <w:pPr>
        <w:spacing w:after="245"/>
        <w:jc w:val="both"/>
      </w:pPr>
    </w:p>
    <w:p w:rsidR="008E1BB5" w:rsidRDefault="00064647" w:rsidP="00F65D78">
      <w:pPr>
        <w:spacing w:after="245"/>
        <w:jc w:val="both"/>
      </w:pPr>
      <w:r>
        <w:t xml:space="preserve"> </w:t>
      </w:r>
    </w:p>
    <w:p w:rsidR="008E1BB5" w:rsidRPr="001F6914" w:rsidRDefault="008E1BB5" w:rsidP="00F65D78">
      <w:pPr>
        <w:spacing w:after="245"/>
        <w:jc w:val="both"/>
      </w:pPr>
      <w:r w:rsidRPr="00F65D78">
        <w:t>Ипотечный продукт «Молодые ученые»</w:t>
      </w:r>
      <w:r w:rsidRPr="001F6914">
        <w:t xml:space="preserve"> разработан ОАО «АИЖК» специально для ипотечного кредитования молодых ученых – научных работников </w:t>
      </w:r>
      <w:r>
        <w:t>Академий наук и университетов Российской Федерации.</w:t>
      </w:r>
    </w:p>
    <w:p w:rsidR="008E1BB5" w:rsidRPr="00F65D78" w:rsidRDefault="008E1BB5" w:rsidP="00F65D78">
      <w:pPr>
        <w:spacing w:after="245"/>
        <w:jc w:val="both"/>
      </w:pPr>
      <w:r w:rsidRPr="00F65D78">
        <w:t>Цели кредитования максимально расширены: это и приобретение квартир, и жилых домов  (на территории комплексной застройки) на вторичном рынке, и приобретение строящегося жилья, в том числе оплата пая в кооперативе.</w:t>
      </w:r>
    </w:p>
    <w:p w:rsidR="008E1BB5" w:rsidRPr="00F65D78" w:rsidRDefault="008E1BB5" w:rsidP="00F65D78">
      <w:pPr>
        <w:spacing w:after="245"/>
        <w:jc w:val="both"/>
      </w:pPr>
      <w:r w:rsidRPr="00F65D78">
        <w:t>Требования к первоначальному взносу минимальны – его размер составляет от 10% от стоимости приобретаемого жилья. В качестве части первоначального взноса могут быть также учтены средства субсидий федеральной целевой программы «Жилище», региональные субсидии. Кроме этого, в качестве части первоначального взноса могут быть учтены средства материнского (семейного) капитала.</w:t>
      </w:r>
    </w:p>
    <w:p w:rsidR="008E1BB5" w:rsidRDefault="008E1BB5" w:rsidP="00F65D78">
      <w:pPr>
        <w:spacing w:after="245"/>
        <w:jc w:val="both"/>
      </w:pPr>
      <w:r w:rsidRPr="001F6914">
        <w:lastRenderedPageBreak/>
        <w:t xml:space="preserve">Подобный </w:t>
      </w:r>
      <w:r>
        <w:t xml:space="preserve">продукт – уникальная возможность для молодых ученых </w:t>
      </w:r>
      <w:r w:rsidRPr="001F6914">
        <w:t xml:space="preserve">уже в начале карьеры </w:t>
      </w:r>
      <w:r>
        <w:t>прибрести</w:t>
      </w:r>
      <w:r w:rsidRPr="001F6914">
        <w:t xml:space="preserve"> квартир</w:t>
      </w:r>
      <w:r>
        <w:t>у, получив в кредит</w:t>
      </w:r>
      <w:r w:rsidRPr="001F6914">
        <w:t xml:space="preserve"> сумму на порядок больше, чем та, на которую </w:t>
      </w:r>
      <w:r>
        <w:t xml:space="preserve">ученый </w:t>
      </w:r>
      <w:r w:rsidRPr="001F6914">
        <w:t>мог бы рассчитывать изначально с учетом своих доходов.</w:t>
      </w:r>
    </w:p>
    <w:p w:rsidR="008E1BB5" w:rsidRDefault="008E1BB5" w:rsidP="00F65D78">
      <w:pPr>
        <w:spacing w:after="245"/>
        <w:jc w:val="both"/>
      </w:pPr>
      <w:r>
        <w:t>П</w:t>
      </w:r>
      <w:r w:rsidRPr="001F6914">
        <w:t>реимуществ</w:t>
      </w:r>
      <w:r>
        <w:t>а</w:t>
      </w:r>
      <w:r w:rsidRPr="001F6914">
        <w:t xml:space="preserve"> продукта</w:t>
      </w:r>
      <w:r>
        <w:t>:</w:t>
      </w:r>
    </w:p>
    <w:p w:rsidR="008E1BB5" w:rsidRDefault="008E1BB5" w:rsidP="00F65D78">
      <w:pPr>
        <w:spacing w:after="245"/>
        <w:jc w:val="both"/>
      </w:pPr>
      <w:r>
        <w:t xml:space="preserve">- низкая процентная ставка; </w:t>
      </w:r>
    </w:p>
    <w:p w:rsidR="008E1BB5" w:rsidRDefault="008E1BB5" w:rsidP="00F65D78">
      <w:pPr>
        <w:spacing w:after="245"/>
        <w:jc w:val="both"/>
      </w:pPr>
      <w:r w:rsidRPr="00060F1F">
        <w:t>- специальный график платежей, учитывающий рост доходов молодого специалиста в будущем</w:t>
      </w:r>
      <w:r>
        <w:t>;</w:t>
      </w:r>
      <w:r w:rsidRPr="00060F1F">
        <w:t xml:space="preserve">  </w:t>
      </w:r>
    </w:p>
    <w:p w:rsidR="008E1BB5" w:rsidRDefault="008E1BB5" w:rsidP="00F65D78">
      <w:pPr>
        <w:spacing w:after="245"/>
        <w:jc w:val="both"/>
      </w:pPr>
      <w:r w:rsidRPr="00060F1F">
        <w:t>- учет социальных выплат на этапе получения кредита (средства ФЦП «Жилище»; региональные субсидии; средства материнского (семейного) капитала</w:t>
      </w:r>
      <w:r>
        <w:t>);</w:t>
      </w:r>
    </w:p>
    <w:p w:rsidR="008E1BB5" w:rsidRPr="00060F1F" w:rsidRDefault="008E1BB5" w:rsidP="00F65D78">
      <w:pPr>
        <w:spacing w:after="245"/>
        <w:jc w:val="both"/>
      </w:pPr>
      <w:r>
        <w:t>- снижение</w:t>
      </w:r>
      <w:r w:rsidRPr="001F6914">
        <w:t> размер</w:t>
      </w:r>
      <w:r>
        <w:t>а</w:t>
      </w:r>
      <w:r w:rsidRPr="001F6914">
        <w:t xml:space="preserve"> ежемесячн</w:t>
      </w:r>
      <w:r>
        <w:t>ого</w:t>
      </w:r>
      <w:r w:rsidRPr="001F6914">
        <w:t xml:space="preserve"> платеж</w:t>
      </w:r>
      <w:r>
        <w:t>а</w:t>
      </w:r>
      <w:r w:rsidRPr="001F6914">
        <w:t xml:space="preserve"> в случае рождения ребенка (</w:t>
      </w:r>
      <w:r>
        <w:t xml:space="preserve">на срок до </w:t>
      </w:r>
      <w:r w:rsidRPr="001F6914">
        <w:t xml:space="preserve">1,5 лет) </w:t>
      </w:r>
    </w:p>
    <w:p w:rsidR="008E1BB5" w:rsidRDefault="008E1BB5" w:rsidP="00F65D78">
      <w:pPr>
        <w:spacing w:after="245"/>
        <w:jc w:val="both"/>
      </w:pPr>
    </w:p>
    <w:sectPr w:rsidR="008E1BB5" w:rsidSect="00C24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5A4" w:rsidRDefault="004375A4" w:rsidP="00F65D78">
      <w:r>
        <w:separator/>
      </w:r>
    </w:p>
  </w:endnote>
  <w:endnote w:type="continuationSeparator" w:id="0">
    <w:p w:rsidR="004375A4" w:rsidRDefault="004375A4" w:rsidP="00F65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5A4" w:rsidRDefault="004375A4" w:rsidP="00F65D78">
      <w:r>
        <w:separator/>
      </w:r>
    </w:p>
  </w:footnote>
  <w:footnote w:type="continuationSeparator" w:id="0">
    <w:p w:rsidR="004375A4" w:rsidRDefault="004375A4" w:rsidP="00F65D78">
      <w:r>
        <w:continuationSeparator/>
      </w:r>
    </w:p>
  </w:footnote>
  <w:footnote w:id="1">
    <w:p w:rsidR="008E1BB5" w:rsidRPr="00E24C7A" w:rsidRDefault="008E1BB5" w:rsidP="00F65D78">
      <w:pPr>
        <w:spacing w:before="100" w:beforeAutospacing="1" w:after="177"/>
        <w:outlineLvl w:val="3"/>
        <w:rPr>
          <w:b/>
          <w:bCs/>
          <w:color w:val="767676"/>
        </w:rPr>
      </w:pPr>
      <w:r>
        <w:rPr>
          <w:rStyle w:val="a7"/>
        </w:rPr>
        <w:footnoteRef/>
      </w:r>
      <w:r>
        <w:t xml:space="preserve"> </w:t>
      </w:r>
      <w:r w:rsidRPr="00E24C7A">
        <w:rPr>
          <w:b/>
          <w:bCs/>
          <w:color w:val="767676"/>
        </w:rPr>
        <w:t xml:space="preserve">Анкета не является публичной офертой и содержит  лишь предварительную информацию о </w:t>
      </w:r>
      <w:r>
        <w:rPr>
          <w:b/>
          <w:bCs/>
          <w:color w:val="767676"/>
        </w:rPr>
        <w:t xml:space="preserve">вашем </w:t>
      </w:r>
      <w:r w:rsidRPr="00E24C7A">
        <w:rPr>
          <w:b/>
          <w:bCs/>
          <w:color w:val="767676"/>
        </w:rPr>
        <w:t xml:space="preserve">желании получить ипотечный кредит по заявленным условиям. После получения Агентством Анкеты заявителю будет  направлена информация о возможности включения в программу по кредитованию молодых ученых. </w:t>
      </w:r>
    </w:p>
    <w:p w:rsidR="00000000" w:rsidRDefault="004375A4" w:rsidP="00F65D78">
      <w:pPr>
        <w:spacing w:before="100" w:beforeAutospacing="1" w:after="177"/>
        <w:outlineLvl w:val="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C33"/>
    <w:multiLevelType w:val="multilevel"/>
    <w:tmpl w:val="777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597722A"/>
    <w:multiLevelType w:val="hybridMultilevel"/>
    <w:tmpl w:val="BF0A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D78"/>
    <w:rsid w:val="00060F1F"/>
    <w:rsid w:val="00064647"/>
    <w:rsid w:val="00141009"/>
    <w:rsid w:val="001702B2"/>
    <w:rsid w:val="001F6914"/>
    <w:rsid w:val="00242CC9"/>
    <w:rsid w:val="00291B19"/>
    <w:rsid w:val="004375A4"/>
    <w:rsid w:val="00584E0C"/>
    <w:rsid w:val="005B7079"/>
    <w:rsid w:val="006D5C47"/>
    <w:rsid w:val="008D008F"/>
    <w:rsid w:val="008E1BB5"/>
    <w:rsid w:val="00A704F3"/>
    <w:rsid w:val="00BE4B35"/>
    <w:rsid w:val="00C24D4A"/>
    <w:rsid w:val="00D0071D"/>
    <w:rsid w:val="00E24C7A"/>
    <w:rsid w:val="00E8751F"/>
    <w:rsid w:val="00F6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65D78"/>
    <w:rPr>
      <w:rFonts w:ascii="Arial" w:hAnsi="Arial" w:cs="Arial"/>
      <w:color w:val="660000"/>
      <w:sz w:val="16"/>
      <w:szCs w:val="16"/>
      <w:u w:val="none"/>
      <w:effect w:val="none"/>
    </w:rPr>
  </w:style>
  <w:style w:type="paragraph" w:styleId="a4">
    <w:name w:val="List Paragraph"/>
    <w:basedOn w:val="a"/>
    <w:uiPriority w:val="99"/>
    <w:qFormat/>
    <w:rsid w:val="00F65D78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a5">
    <w:name w:val="footnote text"/>
    <w:basedOn w:val="a"/>
    <w:link w:val="a6"/>
    <w:uiPriority w:val="99"/>
    <w:semiHidden/>
    <w:rsid w:val="00F65D78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F65D78"/>
    <w:rPr>
      <w:vertAlign w:val="superscript"/>
    </w:rPr>
  </w:style>
  <w:style w:type="character" w:customStyle="1" w:styleId="a6">
    <w:name w:val="Текст сноски Знак"/>
    <w:basedOn w:val="a0"/>
    <w:link w:val="a5"/>
    <w:uiPriority w:val="99"/>
    <w:locked/>
    <w:rsid w:val="00F65D7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" TargetMode="External"/><Relationship Id="rId13" Type="http://schemas.openxmlformats.org/officeDocument/2006/relationships/hyperlink" Target="mailto:TMFainblit@ahm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hml.ru" TargetMode="External"/><Relationship Id="rId12" Type="http://schemas.openxmlformats.org/officeDocument/2006/relationships/hyperlink" Target="mailto:ys@ahm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s@ahm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ys@ahm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m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Office Word</Application>
  <DocSecurity>0</DocSecurity>
  <Lines>38</Lines>
  <Paragraphs>10</Paragraphs>
  <ScaleCrop>false</ScaleCrop>
  <Company>AHML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ОАО «АИЖК»</dc:title>
  <dc:subject/>
  <dc:creator>TMFainblit</dc:creator>
  <cp:keywords/>
  <dc:description/>
  <cp:lastModifiedBy>Admin</cp:lastModifiedBy>
  <cp:revision>2</cp:revision>
  <dcterms:created xsi:type="dcterms:W3CDTF">2012-08-27T12:03:00Z</dcterms:created>
  <dcterms:modified xsi:type="dcterms:W3CDTF">2012-08-27T12:03:00Z</dcterms:modified>
</cp:coreProperties>
</file>